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7E" w:rsidRPr="00280541" w:rsidRDefault="00B8287E" w:rsidP="00B828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8759405"/>
      <w:bookmarkStart w:id="1" w:name="_Toc59196841"/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ВСЕРОССИЙСКИХ ПРОВЕРОЧНЫХ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>РАБОТ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D42">
        <w:rPr>
          <w:rFonts w:ascii="Times New Roman" w:hAnsi="Times New Roman" w:cs="Times New Roman"/>
          <w:b/>
          <w:sz w:val="28"/>
          <w:szCs w:val="28"/>
        </w:rPr>
        <w:t>4-8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КЛАССАХ В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>ОРГАНИЗ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80541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ЯХ </w:t>
      </w:r>
      <w:r>
        <w:rPr>
          <w:rFonts w:ascii="Times New Roman" w:hAnsi="Times New Roman" w:cs="Times New Roman"/>
          <w:b/>
          <w:sz w:val="28"/>
          <w:szCs w:val="28"/>
        </w:rPr>
        <w:t xml:space="preserve"> ЛЕСНОГО МО 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80541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8054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0"/>
    </w:p>
    <w:bookmarkEnd w:id="1"/>
    <w:p w:rsidR="005372B4" w:rsidRPr="00554A8E" w:rsidRDefault="005372B4" w:rsidP="00445EEB">
      <w:pPr>
        <w:pStyle w:val="a4"/>
        <w:spacing w:after="0" w:line="360" w:lineRule="auto"/>
        <w:ind w:left="0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372B4" w:rsidRPr="007C2214" w:rsidRDefault="005372B4" w:rsidP="005372B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214">
        <w:rPr>
          <w:rFonts w:ascii="Times New Roman" w:hAnsi="Times New Roman" w:cs="Times New Roman"/>
          <w:sz w:val="24"/>
          <w:szCs w:val="24"/>
        </w:rPr>
        <w:t>Всероссийские проверочные работы (далее — ВПР)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2214">
        <w:rPr>
          <w:rFonts w:ascii="Times New Roman" w:hAnsi="Times New Roman" w:cs="Times New Roman"/>
          <w:sz w:val="24"/>
          <w:szCs w:val="24"/>
        </w:rPr>
        <w:t xml:space="preserve"> году проводились на основании </w:t>
      </w:r>
      <w:r w:rsidRPr="006F0543">
        <w:rPr>
          <w:rFonts w:ascii="Times New Roman" w:hAnsi="Times New Roman" w:cs="Times New Roman"/>
          <w:sz w:val="24"/>
          <w:szCs w:val="24"/>
        </w:rPr>
        <w:t xml:space="preserve">приказов 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писем</w:t>
      </w:r>
      <w:r w:rsidRPr="007C2214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</w:t>
      </w:r>
      <w:proofErr w:type="spellStart"/>
      <w:r w:rsidRPr="007C2214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7C2214">
        <w:rPr>
          <w:rFonts w:ascii="Times New Roman" w:hAnsi="Times New Roman" w:cs="Times New Roman"/>
          <w:sz w:val="24"/>
          <w:szCs w:val="24"/>
        </w:rPr>
        <w:t>), в соответствии с региональным Порядком организации и проведения ВПР, утвержденным приказом Министерства образования Тверской области от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2214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2214">
        <w:rPr>
          <w:rFonts w:ascii="Times New Roman" w:hAnsi="Times New Roman" w:cs="Times New Roman"/>
          <w:sz w:val="24"/>
          <w:szCs w:val="24"/>
        </w:rPr>
        <w:t xml:space="preserve"> №189/ПК.</w:t>
      </w:r>
    </w:p>
    <w:p w:rsidR="005372B4" w:rsidRPr="001B721C" w:rsidRDefault="005372B4" w:rsidP="005372B4">
      <w:pPr>
        <w:pStyle w:val="a6"/>
        <w:spacing w:before="120"/>
      </w:pPr>
      <w:bookmarkStart w:id="3" w:name="_Hlk141191663"/>
      <w:r w:rsidRPr="001B721C">
        <w:t>Цели проведения ВПР:</w:t>
      </w:r>
    </w:p>
    <w:p w:rsidR="005372B4" w:rsidRPr="001B721C" w:rsidRDefault="005372B4" w:rsidP="005372B4">
      <w:pPr>
        <w:pStyle w:val="a"/>
        <w:spacing w:before="0"/>
        <w:ind w:left="709"/>
      </w:pPr>
      <w:proofErr w:type="gramStart"/>
      <w:r>
        <w:t>о</w:t>
      </w:r>
      <w:r w:rsidRPr="001B721C">
        <w:t xml:space="preserve">существление мониторинга качества образования, в том числе получение объективной информации об уровне достижения предметных и </w:t>
      </w:r>
      <w:proofErr w:type="spellStart"/>
      <w:r w:rsidRPr="001B721C">
        <w:t>метапредметных</w:t>
      </w:r>
      <w:proofErr w:type="spellEnd"/>
      <w:r w:rsidRPr="001B721C">
        <w:t xml:space="preserve"> образовательных результатов обучающихся, осваивающих образовательные программы </w:t>
      </w:r>
      <w:r w:rsidRPr="006D0B47">
        <w:t>начального общего и основного общего образования, в соответствии с федеральным</w:t>
      </w:r>
      <w:r w:rsidRPr="001B721C">
        <w:t xml:space="preserve"> государственным образовательным стандартом начального общего образования и основного общего</w:t>
      </w:r>
      <w:r>
        <w:t xml:space="preserve"> </w:t>
      </w:r>
      <w:r w:rsidRPr="001B721C">
        <w:t xml:space="preserve">образования (далее </w:t>
      </w:r>
      <w:r>
        <w:t>—</w:t>
      </w:r>
      <w:r w:rsidRPr="001B721C">
        <w:t xml:space="preserve"> ФГОС НОО, ФГОС ООО) для эффективного управления качеством образования; </w:t>
      </w:r>
      <w:proofErr w:type="gramEnd"/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получение объективной информации об уровне </w:t>
      </w:r>
      <w:proofErr w:type="spellStart"/>
      <w:r w:rsidRPr="001B721C">
        <w:t>сформированности</w:t>
      </w:r>
      <w:proofErr w:type="spellEnd"/>
      <w:r w:rsidRPr="001B721C">
        <w:t xml:space="preserve"> функциональной грамотности обучающихся общеобразовательных организаций на основе анализа выполнения заданий ВПР, оценивающих </w:t>
      </w:r>
      <w:proofErr w:type="spellStart"/>
      <w:r w:rsidRPr="001B721C">
        <w:t>сформированность</w:t>
      </w:r>
      <w:proofErr w:type="spellEnd"/>
      <w:r w:rsidRPr="001B721C">
        <w:t xml:space="preserve"> </w:t>
      </w:r>
      <w:proofErr w:type="spellStart"/>
      <w:r w:rsidRPr="001B721C">
        <w:t>метапредметных</w:t>
      </w:r>
      <w:proofErr w:type="spellEnd"/>
      <w:r w:rsidRPr="001B721C">
        <w:t xml:space="preserve"> результатов</w:t>
      </w:r>
      <w:r>
        <w:t xml:space="preserve"> </w:t>
      </w:r>
      <w:r w:rsidRPr="001B721C">
        <w:t>для эффективного управления качеством образования;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диагностика затруднений в предметной подготовке обучающихся;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повышение качества образовательных результатов на основе анализа результатов ВПР,</w:t>
      </w:r>
      <w:r>
        <w:t xml:space="preserve"> </w:t>
      </w:r>
      <w:r w:rsidRPr="001B721C">
        <w:t>ранее проведенного анализа образовательных результатов обучающихся, полученных с соблюдением объективности на этапе проведения оценочных процедур и проверки работ обучающихся;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выявление динамики результатов обучающихся;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оценка объективности </w:t>
      </w:r>
      <w:proofErr w:type="spellStart"/>
      <w:r w:rsidRPr="001B721C">
        <w:t>внутришкольного</w:t>
      </w:r>
      <w:proofErr w:type="spellEnd"/>
      <w:r w:rsidRPr="001B721C">
        <w:t xml:space="preserve"> оценивания;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выявление факторов, влияющих на уровень образовательных достижений обучающихся. </w:t>
      </w:r>
    </w:p>
    <w:bookmarkEnd w:id="3"/>
    <w:p w:rsidR="005372B4" w:rsidRPr="001B721C" w:rsidRDefault="005372B4" w:rsidP="005372B4">
      <w:pPr>
        <w:pStyle w:val="a6"/>
        <w:spacing w:before="240"/>
      </w:pPr>
      <w:r w:rsidRPr="001B721C">
        <w:t>Перечень учебных предметов:</w:t>
      </w:r>
    </w:p>
    <w:p w:rsidR="005372B4" w:rsidRPr="001B721C" w:rsidRDefault="005372B4" w:rsidP="005372B4">
      <w:pPr>
        <w:pStyle w:val="a6"/>
      </w:pPr>
      <w:r>
        <w:t>4</w:t>
      </w:r>
      <w:r w:rsidRPr="001B721C">
        <w:t xml:space="preserve"> класс </w:t>
      </w:r>
      <w:r>
        <w:t>—</w:t>
      </w:r>
      <w:r w:rsidRPr="001B721C">
        <w:t xml:space="preserve"> русский язык, математика, окружающий мир;</w:t>
      </w:r>
    </w:p>
    <w:p w:rsidR="005372B4" w:rsidRPr="001B721C" w:rsidRDefault="005372B4" w:rsidP="005372B4">
      <w:pPr>
        <w:pStyle w:val="a6"/>
      </w:pPr>
      <w:r>
        <w:t>5</w:t>
      </w:r>
      <w:r w:rsidRPr="001B721C">
        <w:t xml:space="preserve"> класс </w:t>
      </w:r>
      <w:r>
        <w:t>—</w:t>
      </w:r>
      <w:r w:rsidRPr="001B721C">
        <w:t xml:space="preserve"> русский язык, математика, история, биология;</w:t>
      </w:r>
    </w:p>
    <w:p w:rsidR="005372B4" w:rsidRPr="001B721C" w:rsidRDefault="005372B4" w:rsidP="005372B4">
      <w:pPr>
        <w:pStyle w:val="a6"/>
      </w:pPr>
      <w:r>
        <w:t>6</w:t>
      </w:r>
      <w:r w:rsidRPr="001B721C">
        <w:t xml:space="preserve"> класс </w:t>
      </w:r>
      <w:r>
        <w:t>—</w:t>
      </w:r>
      <w:r w:rsidRPr="001B721C">
        <w:t xml:space="preserve"> русский язык, математика, история, биология, география, обществознание;</w:t>
      </w:r>
    </w:p>
    <w:p w:rsidR="005372B4" w:rsidRPr="001B721C" w:rsidRDefault="005372B4" w:rsidP="005372B4">
      <w:pPr>
        <w:pStyle w:val="a6"/>
      </w:pPr>
      <w:proofErr w:type="gramStart"/>
      <w:r>
        <w:t>7</w:t>
      </w:r>
      <w:r w:rsidRPr="001B721C">
        <w:t xml:space="preserve"> класс </w:t>
      </w:r>
      <w:r>
        <w:t>—</w:t>
      </w:r>
      <w:r w:rsidRPr="001B721C">
        <w:t xml:space="preserve"> русский язык, математика, история, биология, география, обществознание, физика, иностранный язык;</w:t>
      </w:r>
      <w:proofErr w:type="gramEnd"/>
    </w:p>
    <w:p w:rsidR="005372B4" w:rsidRDefault="005372B4" w:rsidP="005372B4">
      <w:pPr>
        <w:pStyle w:val="a6"/>
      </w:pPr>
      <w:proofErr w:type="gramStart"/>
      <w:r>
        <w:lastRenderedPageBreak/>
        <w:t>8</w:t>
      </w:r>
      <w:r w:rsidRPr="001B721C">
        <w:t xml:space="preserve"> класс </w:t>
      </w:r>
      <w:r>
        <w:t>—</w:t>
      </w:r>
      <w:r w:rsidRPr="001B721C">
        <w:t xml:space="preserve"> русский язык, математика, история, биология, география, обществознание, физика, химия.</w:t>
      </w:r>
      <w:proofErr w:type="gramEnd"/>
    </w:p>
    <w:p w:rsidR="005372B4" w:rsidRPr="0001678E" w:rsidRDefault="005372B4" w:rsidP="005372B4">
      <w:pPr>
        <w:pStyle w:val="a6"/>
      </w:pPr>
      <w:r w:rsidRPr="0001678E">
        <w:t>В настоящем отчете представлены обобщенные результаты ВПР, проведенные весной 202</w:t>
      </w:r>
      <w:r>
        <w:t>3</w:t>
      </w:r>
      <w:r w:rsidRPr="0001678E">
        <w:t xml:space="preserve"> года.</w:t>
      </w:r>
    </w:p>
    <w:p w:rsidR="005372B4" w:rsidRPr="001B721C" w:rsidRDefault="005372B4" w:rsidP="005372B4">
      <w:pPr>
        <w:pStyle w:val="a6"/>
      </w:pPr>
      <w:r w:rsidRPr="001B721C">
        <w:t>Основные показатели, по которым представлены результаты ВПР:</w:t>
      </w:r>
    </w:p>
    <w:p w:rsidR="005372B4" w:rsidRPr="006C7A5B" w:rsidRDefault="005372B4" w:rsidP="005372B4">
      <w:pPr>
        <w:pStyle w:val="a"/>
        <w:spacing w:before="0"/>
        <w:ind w:left="709"/>
        <w:rPr>
          <w:spacing w:val="-4"/>
        </w:rPr>
      </w:pPr>
      <w:r w:rsidRPr="006C7A5B">
        <w:rPr>
          <w:spacing w:val="-4"/>
        </w:rPr>
        <w:t xml:space="preserve">доля </w:t>
      </w:r>
      <w:proofErr w:type="gramStart"/>
      <w:r w:rsidRPr="006C7A5B">
        <w:rPr>
          <w:spacing w:val="-4"/>
        </w:rPr>
        <w:t>обучающихся</w:t>
      </w:r>
      <w:proofErr w:type="gramEnd"/>
      <w:r w:rsidRPr="006C7A5B">
        <w:rPr>
          <w:spacing w:val="-4"/>
        </w:rPr>
        <w:t>, достигших\не достигших базового уровня подготовки по предмету;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доля </w:t>
      </w:r>
      <w:proofErr w:type="gramStart"/>
      <w:r w:rsidRPr="001B721C">
        <w:t>обучающихся</w:t>
      </w:r>
      <w:proofErr w:type="gramEnd"/>
      <w:r w:rsidRPr="001B721C">
        <w:t>, достигших высокого уровня подготовки по предмету;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доля </w:t>
      </w:r>
      <w:proofErr w:type="gramStart"/>
      <w:r w:rsidRPr="001B721C">
        <w:t>обучающихся</w:t>
      </w:r>
      <w:proofErr w:type="gramEnd"/>
      <w:r w:rsidRPr="001B721C">
        <w:t xml:space="preserve">, справившихся с заданиями, оценивающими </w:t>
      </w:r>
      <w:proofErr w:type="spellStart"/>
      <w:r w:rsidRPr="001B721C">
        <w:t>сформированность</w:t>
      </w:r>
      <w:proofErr w:type="spellEnd"/>
      <w:r w:rsidRPr="001B721C">
        <w:t xml:space="preserve"> функциональной грамотности;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 xml:space="preserve">доля </w:t>
      </w:r>
      <w:proofErr w:type="gramStart"/>
      <w:r w:rsidRPr="001B721C">
        <w:t>обучающихся</w:t>
      </w:r>
      <w:proofErr w:type="gramEnd"/>
      <w:r w:rsidRPr="001B721C">
        <w:t>, показавших результат выше/ниже/в соответствии с текущей успеваемостью по предмету;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качество</w:t>
      </w:r>
      <w:proofErr w:type="gramStart"/>
      <w:r w:rsidRPr="001B721C">
        <w:t xml:space="preserve"> (%) </w:t>
      </w:r>
      <w:proofErr w:type="gramEnd"/>
      <w:r w:rsidRPr="001B721C">
        <w:t>выполнения заданий по контролируемым элементам содержания и требованиям ФГОС;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статистика по отметкам;</w:t>
      </w:r>
    </w:p>
    <w:p w:rsidR="005372B4" w:rsidRPr="001B721C" w:rsidRDefault="005372B4" w:rsidP="005372B4">
      <w:pPr>
        <w:pStyle w:val="a"/>
        <w:spacing w:before="0"/>
        <w:ind w:left="709"/>
      </w:pPr>
      <w:r w:rsidRPr="001B721C">
        <w:t>характер динамики образовательных результатов обучающихся.</w:t>
      </w:r>
    </w:p>
    <w:p w:rsidR="005372B4" w:rsidRDefault="005372B4" w:rsidP="005372B4">
      <w:pPr>
        <w:pStyle w:val="a6"/>
      </w:pPr>
      <w:r w:rsidRPr="001B721C">
        <w:t xml:space="preserve">Объективность результатов ВПР обеспечивалась организацией общественного наблюдения при проведении оценочных процедур и проверке работ обучающихся, перепроверок и проверок </w:t>
      </w:r>
      <w:proofErr w:type="gramStart"/>
      <w:r w:rsidRPr="001B721C">
        <w:t>работ</w:t>
      </w:r>
      <w:proofErr w:type="gramEnd"/>
      <w:r w:rsidRPr="001B721C">
        <w:t xml:space="preserve"> обучающихся школьными (или) муниципальными предметными комиссиями, соотнесением результатов внешних и внутренних оценочных процедур.</w:t>
      </w:r>
    </w:p>
    <w:p w:rsidR="009E4E9F" w:rsidRDefault="009E4E9F" w:rsidP="005372B4">
      <w:pPr>
        <w:pStyle w:val="a6"/>
      </w:pPr>
    </w:p>
    <w:p w:rsidR="009E4E9F" w:rsidRPr="009E4E9F" w:rsidRDefault="009E4E9F" w:rsidP="005372B4">
      <w:pPr>
        <w:pStyle w:val="a6"/>
        <w:rPr>
          <w:b/>
        </w:rPr>
      </w:pPr>
      <w:r w:rsidRPr="009E4E9F">
        <w:rPr>
          <w:b/>
        </w:rPr>
        <w:t>Показатели:</w:t>
      </w:r>
    </w:p>
    <w:p w:rsidR="00445EEB" w:rsidRDefault="00445EEB" w:rsidP="005372B4">
      <w:pPr>
        <w:pStyle w:val="a6"/>
      </w:pPr>
    </w:p>
    <w:p w:rsidR="00445EEB" w:rsidRPr="00445EEB" w:rsidRDefault="00445EEB" w:rsidP="00445EEB">
      <w:pPr>
        <w:pStyle w:val="a6"/>
        <w:tabs>
          <w:tab w:val="right" w:leader="dot" w:pos="9639"/>
        </w:tabs>
        <w:ind w:left="284" w:hanging="284"/>
        <w:jc w:val="left"/>
        <w:rPr>
          <w:b/>
          <w:sz w:val="28"/>
          <w:szCs w:val="28"/>
        </w:rPr>
      </w:pPr>
      <w:r w:rsidRPr="00445EEB">
        <w:rPr>
          <w:b/>
          <w:sz w:val="28"/>
          <w:szCs w:val="28"/>
        </w:rPr>
        <w:t xml:space="preserve">            </w:t>
      </w:r>
      <w:proofErr w:type="gramStart"/>
      <w:r w:rsidRPr="00445EEB">
        <w:rPr>
          <w:b/>
          <w:sz w:val="28"/>
          <w:szCs w:val="28"/>
        </w:rPr>
        <w:t xml:space="preserve">ОУ в Лесном МО с низкими образовательными </w:t>
      </w:r>
      <w:r w:rsidR="009E4E9F">
        <w:rPr>
          <w:b/>
          <w:sz w:val="28"/>
          <w:szCs w:val="28"/>
        </w:rPr>
        <w:t xml:space="preserve"> </w:t>
      </w:r>
      <w:r w:rsidRPr="00445EEB">
        <w:rPr>
          <w:b/>
          <w:sz w:val="28"/>
          <w:szCs w:val="28"/>
        </w:rPr>
        <w:t xml:space="preserve">результатами по итогам ВПР–2023 </w:t>
      </w:r>
      <w:r w:rsidR="009E4E9F">
        <w:rPr>
          <w:b/>
          <w:sz w:val="28"/>
          <w:szCs w:val="28"/>
        </w:rPr>
        <w:t xml:space="preserve"> </w:t>
      </w:r>
      <w:r w:rsidRPr="00445EEB">
        <w:rPr>
          <w:b/>
          <w:sz w:val="28"/>
          <w:szCs w:val="28"/>
        </w:rPr>
        <w:t>не выявлены</w:t>
      </w:r>
      <w:r>
        <w:rPr>
          <w:b/>
          <w:sz w:val="28"/>
          <w:szCs w:val="28"/>
        </w:rPr>
        <w:t>.</w:t>
      </w:r>
      <w:proofErr w:type="gramEnd"/>
    </w:p>
    <w:p w:rsidR="00445EEB" w:rsidRDefault="00485787" w:rsidP="00445EE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45EEB" w:rsidRPr="00445EEB">
        <w:rPr>
          <w:b/>
          <w:sz w:val="28"/>
          <w:szCs w:val="28"/>
        </w:rPr>
        <w:t xml:space="preserve">бъективность проведения всероссийских </w:t>
      </w:r>
      <w:r w:rsidR="00445EEB" w:rsidRPr="00445EEB">
        <w:rPr>
          <w:b/>
          <w:sz w:val="28"/>
          <w:szCs w:val="28"/>
        </w:rPr>
        <w:br/>
        <w:t>проверочных работ в 2023 году обеспечена.</w:t>
      </w:r>
    </w:p>
    <w:p w:rsidR="00445EEB" w:rsidRPr="00280541" w:rsidRDefault="00445EEB" w:rsidP="00445EEB">
      <w:pPr>
        <w:pStyle w:val="a6"/>
      </w:pPr>
    </w:p>
    <w:p w:rsidR="00445EEB" w:rsidRPr="00445EEB" w:rsidRDefault="00445EEB" w:rsidP="00445EEB">
      <w:pPr>
        <w:pStyle w:val="a6"/>
        <w:rPr>
          <w:b/>
        </w:rPr>
      </w:pPr>
      <w:r>
        <w:rPr>
          <w:b/>
        </w:rPr>
        <w:t>Рекомендации:</w:t>
      </w:r>
    </w:p>
    <w:p w:rsidR="00B8287E" w:rsidRPr="00280541" w:rsidRDefault="00B8287E" w:rsidP="00B8287E">
      <w:pPr>
        <w:pStyle w:val="a6"/>
        <w:rPr>
          <w:b/>
        </w:rPr>
      </w:pPr>
      <w:r>
        <w:t xml:space="preserve">        </w:t>
      </w:r>
      <w:r w:rsidRPr="00280541">
        <w:rPr>
          <w:b/>
        </w:rPr>
        <w:t>На уровне образовательной организации</w:t>
      </w:r>
    </w:p>
    <w:p w:rsidR="00B8287E" w:rsidRPr="00280541" w:rsidRDefault="00B8287E" w:rsidP="00B8287E">
      <w:pPr>
        <w:pStyle w:val="a6"/>
      </w:pPr>
      <w:r w:rsidRPr="00280541">
        <w:t>1. Провести детальный анализ результатов ВПР</w:t>
      </w:r>
      <w:r>
        <w:t>–</w:t>
      </w:r>
      <w:r w:rsidRPr="00280541">
        <w:t>202</w:t>
      </w:r>
      <w:r>
        <w:t>3</w:t>
      </w:r>
      <w:r w:rsidRPr="00280541">
        <w:t xml:space="preserve"> по всем учебным предметам с определением затруднений/пробелов: по каждому обучающемуся, классу, параллели, образовательной организации в целом. </w:t>
      </w:r>
    </w:p>
    <w:p w:rsidR="00B8287E" w:rsidRPr="00280541" w:rsidRDefault="00B8287E" w:rsidP="00B8287E">
      <w:pPr>
        <w:pStyle w:val="a6"/>
      </w:pPr>
      <w:r w:rsidRPr="00280541">
        <w:t xml:space="preserve">2. Разработать дорожную карту ликвидации выявленных пробелов в предметных и </w:t>
      </w:r>
      <w:proofErr w:type="spellStart"/>
      <w:r w:rsidRPr="00280541">
        <w:t>метапредметных</w:t>
      </w:r>
      <w:proofErr w:type="spellEnd"/>
      <w:r w:rsidRPr="00280541">
        <w:t xml:space="preserve"> областях.</w:t>
      </w:r>
    </w:p>
    <w:p w:rsidR="00B8287E" w:rsidRPr="00280541" w:rsidRDefault="00B8287E" w:rsidP="00B8287E">
      <w:pPr>
        <w:pStyle w:val="a6"/>
      </w:pPr>
      <w:r w:rsidRPr="00280541">
        <w:t>2. В рамках ВСОКО:</w:t>
      </w:r>
    </w:p>
    <w:p w:rsidR="00B8287E" w:rsidRPr="00280541" w:rsidRDefault="00B8287E" w:rsidP="00B8287E">
      <w:pPr>
        <w:pStyle w:val="a"/>
        <w:spacing w:before="0"/>
        <w:ind w:left="851"/>
      </w:pPr>
      <w:r w:rsidRPr="00280541">
        <w:t xml:space="preserve">обеспечить развитие </w:t>
      </w:r>
      <w:proofErr w:type="spellStart"/>
      <w:r w:rsidRPr="00280541">
        <w:t>внутришкольной</w:t>
      </w:r>
      <w:proofErr w:type="spellEnd"/>
      <w:r w:rsidRPr="00280541">
        <w:t xml:space="preserve"> системы профилактики учебной </w:t>
      </w:r>
      <w:proofErr w:type="spellStart"/>
      <w:r w:rsidRPr="00280541">
        <w:t>неуспешности</w:t>
      </w:r>
      <w:proofErr w:type="spellEnd"/>
      <w:r w:rsidRPr="00280541">
        <w:t>;</w:t>
      </w:r>
    </w:p>
    <w:p w:rsidR="00B8287E" w:rsidRPr="00280541" w:rsidRDefault="00B8287E" w:rsidP="00B8287E">
      <w:pPr>
        <w:pStyle w:val="a"/>
        <w:spacing w:before="0"/>
        <w:ind w:left="851"/>
      </w:pPr>
      <w:r w:rsidRPr="00280541">
        <w:t xml:space="preserve">обеспечить систематичность </w:t>
      </w:r>
      <w:proofErr w:type="spellStart"/>
      <w:r w:rsidRPr="00280541">
        <w:t>внутришкольного</w:t>
      </w:r>
      <w:proofErr w:type="spellEnd"/>
      <w:r w:rsidRPr="00280541">
        <w:t xml:space="preserve"> контроля как комплекса мероприятий для проведения мониторинга результативности достижения планируемых результатов ФГОС НОО, ФГОС ООО;</w:t>
      </w:r>
    </w:p>
    <w:p w:rsidR="00B8287E" w:rsidRPr="00280541" w:rsidRDefault="00B8287E" w:rsidP="00B8287E">
      <w:pPr>
        <w:pStyle w:val="a"/>
        <w:spacing w:before="0"/>
        <w:ind w:left="851"/>
      </w:pPr>
      <w:r w:rsidRPr="00280541">
        <w:lastRenderedPageBreak/>
        <w:t>продолжить практику привлечения общественных наблюдателей для обеспечения объективности образовательных результатов при проведении внешних и внутренних оценочных процедур в ОО;</w:t>
      </w:r>
    </w:p>
    <w:p w:rsidR="00B8287E" w:rsidRPr="00280541" w:rsidRDefault="00B8287E" w:rsidP="00B8287E">
      <w:pPr>
        <w:pStyle w:val="a"/>
        <w:spacing w:before="0"/>
        <w:ind w:left="851"/>
      </w:pPr>
      <w:r w:rsidRPr="00280541">
        <w:t>организовать контроль динамики ликвидации выявленных пробелов в подготовке обучающихся;</w:t>
      </w:r>
    </w:p>
    <w:p w:rsidR="00B8287E" w:rsidRPr="00280541" w:rsidRDefault="00B8287E" w:rsidP="00B8287E">
      <w:pPr>
        <w:pStyle w:val="a"/>
        <w:spacing w:before="0"/>
        <w:ind w:left="851"/>
      </w:pPr>
      <w:proofErr w:type="gramStart"/>
      <w:r w:rsidRPr="00280541">
        <w:t>обеспечить единые подходы в организации оценочной деятельности педагогов в соответствии с ФГОС;</w:t>
      </w:r>
      <w:r w:rsidRPr="00AF12FE">
        <w:t xml:space="preserve"> </w:t>
      </w:r>
      <w:r>
        <w:t xml:space="preserve">с целью исключения различных подходов при проверке всероссийских проверочных работ руководителям методических объединений рекомендуется: рассмотреть на заседании МО вопросы, связанные с анализом результатов проверки и перепроверки ВПР; организовать обсуждение критериев оценивания ВПР; провести тренинги по работе с </w:t>
      </w:r>
      <w:proofErr w:type="spellStart"/>
      <w:r>
        <w:t>критериальной</w:t>
      </w:r>
      <w:proofErr w:type="spellEnd"/>
      <w:r>
        <w:t xml:space="preserve"> базой проверочных работ.</w:t>
      </w:r>
      <w:proofErr w:type="gramEnd"/>
    </w:p>
    <w:p w:rsidR="00B8287E" w:rsidRDefault="00B8287E" w:rsidP="00B8287E">
      <w:pPr>
        <w:pStyle w:val="a"/>
        <w:spacing w:before="0" w:after="240"/>
        <w:ind w:left="851"/>
      </w:pPr>
      <w:r w:rsidRPr="00280541">
        <w:t>выявлять и распространять успешные педагогические практики по достижению объективности и качества образовательных результатов.</w:t>
      </w:r>
    </w:p>
    <w:p w:rsidR="00B8287E" w:rsidRDefault="00B8287E" w:rsidP="00B8287E">
      <w:pPr>
        <w:pStyle w:val="a6"/>
        <w:rPr>
          <w:color w:val="000000"/>
          <w:shd w:val="clear" w:color="auto" w:fill="FFFFFF"/>
        </w:rPr>
      </w:pPr>
      <w:r>
        <w:t xml:space="preserve">3. </w:t>
      </w:r>
      <w:r>
        <w:rPr>
          <w:color w:val="000000"/>
          <w:shd w:val="clear" w:color="auto" w:fill="FFFFFF"/>
        </w:rPr>
        <w:t>Проанализировать показатель</w:t>
      </w:r>
      <w:r w:rsidRPr="00866608">
        <w:rPr>
          <w:color w:val="000000"/>
          <w:shd w:val="clear" w:color="auto" w:fill="FFFFFF"/>
        </w:rPr>
        <w:t xml:space="preserve"> </w:t>
      </w:r>
      <w:r w:rsidRPr="00AF12FE">
        <w:rPr>
          <w:color w:val="000000"/>
          <w:shd w:val="clear" w:color="auto" w:fill="FFFFFF"/>
        </w:rPr>
        <w:t>дол</w:t>
      </w:r>
      <w:r>
        <w:rPr>
          <w:color w:val="000000"/>
          <w:shd w:val="clear" w:color="auto" w:fill="FFFFFF"/>
        </w:rPr>
        <w:t>и</w:t>
      </w:r>
      <w:r w:rsidRPr="00AF12FE">
        <w:rPr>
          <w:color w:val="000000"/>
          <w:shd w:val="clear" w:color="auto" w:fill="FFFFFF"/>
        </w:rPr>
        <w:t xml:space="preserve"> обучающихся</w:t>
      </w:r>
      <w:r>
        <w:rPr>
          <w:color w:val="000000"/>
          <w:shd w:val="clear" w:color="auto" w:fill="FFFFFF"/>
        </w:rPr>
        <w:t xml:space="preserve"> основной школы</w:t>
      </w:r>
      <w:r w:rsidRPr="00AF12FE">
        <w:rPr>
          <w:color w:val="000000"/>
          <w:shd w:val="clear" w:color="auto" w:fill="FFFFFF"/>
        </w:rPr>
        <w:t xml:space="preserve">, результаты </w:t>
      </w:r>
      <w:r>
        <w:rPr>
          <w:color w:val="000000"/>
          <w:shd w:val="clear" w:color="auto" w:fill="FFFFFF"/>
        </w:rPr>
        <w:t>ВПР которых</w:t>
      </w:r>
      <w:r w:rsidRPr="00AF12FE">
        <w:rPr>
          <w:color w:val="000000"/>
          <w:shd w:val="clear" w:color="auto" w:fill="FFFFFF"/>
        </w:rPr>
        <w:t xml:space="preserve"> ниже, чем оценки по журналу</w:t>
      </w:r>
      <w:r>
        <w:rPr>
          <w:color w:val="000000"/>
          <w:shd w:val="clear" w:color="auto" w:fill="FFFFFF"/>
        </w:rPr>
        <w:t xml:space="preserve">. Если завышение результатов </w:t>
      </w:r>
      <w:proofErr w:type="spellStart"/>
      <w:r>
        <w:rPr>
          <w:color w:val="000000"/>
          <w:shd w:val="clear" w:color="auto" w:fill="FFFFFF"/>
        </w:rPr>
        <w:t>внутриклассного</w:t>
      </w:r>
      <w:proofErr w:type="spellEnd"/>
      <w:r>
        <w:rPr>
          <w:color w:val="000000"/>
          <w:shd w:val="clear" w:color="auto" w:fill="FFFFFF"/>
        </w:rPr>
        <w:t xml:space="preserve"> оценивания характерно для отдельного учителя, рекомендуется</w:t>
      </w:r>
      <w:r w:rsidRPr="0030398A">
        <w:rPr>
          <w:color w:val="000000"/>
          <w:shd w:val="clear" w:color="auto" w:fill="FFFFFF"/>
        </w:rPr>
        <w:t xml:space="preserve"> </w:t>
      </w:r>
      <w:r w:rsidRPr="00AF12FE">
        <w:rPr>
          <w:color w:val="000000"/>
          <w:shd w:val="clear" w:color="auto" w:fill="FFFFFF"/>
        </w:rPr>
        <w:t xml:space="preserve">провести анализ результатов всех классов конкретного </w:t>
      </w:r>
      <w:r>
        <w:rPr>
          <w:color w:val="000000"/>
          <w:shd w:val="clear" w:color="auto" w:fill="FFFFFF"/>
        </w:rPr>
        <w:t>педагога</w:t>
      </w:r>
      <w:r w:rsidRPr="00AF12FE">
        <w:rPr>
          <w:color w:val="000000"/>
          <w:shd w:val="clear" w:color="auto" w:fill="FFFFFF"/>
        </w:rPr>
        <w:t xml:space="preserve"> для выявления систематических пробелов и определения потребностей в совершенствовании</w:t>
      </w:r>
      <w:r>
        <w:rPr>
          <w:color w:val="000000"/>
          <w:shd w:val="clear" w:color="auto" w:fill="FFFFFF"/>
        </w:rPr>
        <w:t xml:space="preserve"> его</w:t>
      </w:r>
      <w:r w:rsidRPr="00AF12FE">
        <w:rPr>
          <w:color w:val="000000"/>
          <w:shd w:val="clear" w:color="auto" w:fill="FFFFFF"/>
        </w:rPr>
        <w:t xml:space="preserve"> профессиональных навыков.</w:t>
      </w:r>
      <w:r>
        <w:rPr>
          <w:color w:val="000000"/>
          <w:shd w:val="clear" w:color="auto" w:fill="FFFFFF"/>
        </w:rPr>
        <w:t xml:space="preserve"> </w:t>
      </w:r>
    </w:p>
    <w:p w:rsidR="00B8287E" w:rsidRDefault="00B8287E" w:rsidP="00B8287E">
      <w:pPr>
        <w:pStyle w:val="a6"/>
        <w:rPr>
          <w:noProof/>
        </w:rPr>
      </w:pPr>
      <w:r>
        <w:rPr>
          <w:color w:val="000000"/>
          <w:shd w:val="clear" w:color="auto" w:fill="FFFFFF"/>
        </w:rPr>
        <w:t xml:space="preserve">4. Принять меры по устранению предметных и методических профессиональных дефицитов, по развитию у педагогов навыков оценивания, </w:t>
      </w:r>
      <w:r w:rsidRPr="00AF12FE">
        <w:rPr>
          <w:color w:val="000000"/>
          <w:shd w:val="clear" w:color="auto" w:fill="FFFFFF"/>
        </w:rPr>
        <w:t>внедрени</w:t>
      </w:r>
      <w:r>
        <w:rPr>
          <w:color w:val="000000"/>
          <w:shd w:val="clear" w:color="auto" w:fill="FFFFFF"/>
        </w:rPr>
        <w:t>ю</w:t>
      </w:r>
      <w:r w:rsidRPr="00AF12FE">
        <w:rPr>
          <w:color w:val="000000"/>
          <w:shd w:val="clear" w:color="auto" w:fill="FFFFFF"/>
        </w:rPr>
        <w:t xml:space="preserve"> в практику работы педагогического коллектива школы элементов формирующего и </w:t>
      </w:r>
      <w:proofErr w:type="spellStart"/>
      <w:r w:rsidRPr="00AF12FE">
        <w:rPr>
          <w:color w:val="000000"/>
          <w:shd w:val="clear" w:color="auto" w:fill="FFFFFF"/>
        </w:rPr>
        <w:t>критериального</w:t>
      </w:r>
      <w:proofErr w:type="spellEnd"/>
      <w:r w:rsidRPr="00AF12FE">
        <w:rPr>
          <w:color w:val="000000"/>
          <w:shd w:val="clear" w:color="auto" w:fill="FFFFFF"/>
        </w:rPr>
        <w:t xml:space="preserve"> оценивания</w:t>
      </w:r>
      <w:r>
        <w:rPr>
          <w:color w:val="000000"/>
          <w:shd w:val="clear" w:color="auto" w:fill="FFFFFF"/>
        </w:rPr>
        <w:t>. Соответствующие меры принять</w:t>
      </w:r>
      <w:r w:rsidRPr="00AF12F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при получении результатов анализа, указывающего на низкую объективность школьной ВСОКО и высокие риски снижения образовательных результатов (в случае высокого процента завышения результатов большинством учителей школы)</w:t>
      </w:r>
      <w:r w:rsidRPr="00AF12FE">
        <w:rPr>
          <w:color w:val="000000"/>
          <w:shd w:val="clear" w:color="auto" w:fill="FFFFFF"/>
        </w:rPr>
        <w:t>.</w:t>
      </w:r>
    </w:p>
    <w:p w:rsidR="00B8287E" w:rsidRPr="00280541" w:rsidRDefault="00B8287E" w:rsidP="00B8287E">
      <w:pPr>
        <w:pStyle w:val="a6"/>
      </w:pPr>
      <w:r>
        <w:t>5</w:t>
      </w:r>
      <w:r w:rsidRPr="00280541">
        <w:t>. Организовать работу интегрированных школьных методических объединений учителей начальных классов с учителями–предметниками в целях обеспечения преемственности в обучении и оценке образовательных достижений обучающихся, в том числе по вопросам</w:t>
      </w:r>
      <w:r>
        <w:t xml:space="preserve"> </w:t>
      </w:r>
      <w:r w:rsidRPr="00280541">
        <w:t>формирования</w:t>
      </w:r>
      <w:r>
        <w:t xml:space="preserve"> </w:t>
      </w:r>
      <w:r w:rsidRPr="00280541">
        <w:t>функциональной грамотности обучающихся.</w:t>
      </w:r>
    </w:p>
    <w:p w:rsidR="00B8287E" w:rsidRPr="00280541" w:rsidRDefault="00B8287E" w:rsidP="00B8287E">
      <w:pPr>
        <w:pStyle w:val="a6"/>
      </w:pPr>
      <w:r>
        <w:t>6</w:t>
      </w:r>
      <w:r w:rsidRPr="00280541">
        <w:t>. Провести информационно</w:t>
      </w:r>
      <w:r>
        <w:t>-</w:t>
      </w:r>
      <w:r w:rsidRPr="00280541">
        <w:t xml:space="preserve">разъяснительную работу с обучающимися и родителями по формированию положительного отношения к объективному оцениванию образовательных результатов, ознакомлению с критериями оценивания ВПР, их применению для самооценки предметной и </w:t>
      </w:r>
      <w:proofErr w:type="spellStart"/>
      <w:r w:rsidRPr="00280541">
        <w:t>метапредметной</w:t>
      </w:r>
      <w:proofErr w:type="spellEnd"/>
      <w:r>
        <w:t xml:space="preserve"> </w:t>
      </w:r>
      <w:r w:rsidRPr="00280541">
        <w:t>подготовки.</w:t>
      </w:r>
    </w:p>
    <w:p w:rsidR="00B8287E" w:rsidRPr="00280541" w:rsidRDefault="00B8287E" w:rsidP="00B8287E">
      <w:pPr>
        <w:pStyle w:val="a6"/>
      </w:pPr>
    </w:p>
    <w:p w:rsidR="00B8287E" w:rsidRPr="00BD7384" w:rsidRDefault="00B8287E" w:rsidP="00B8287E">
      <w:pPr>
        <w:pStyle w:val="a6"/>
        <w:rPr>
          <w:b/>
          <w:u w:val="single"/>
        </w:rPr>
      </w:pPr>
      <w:r w:rsidRPr="00BD7384">
        <w:rPr>
          <w:b/>
          <w:u w:val="single"/>
        </w:rPr>
        <w:t>Учителям</w:t>
      </w:r>
      <w:r>
        <w:rPr>
          <w:b/>
          <w:u w:val="single"/>
        </w:rPr>
        <w:t>–</w:t>
      </w:r>
      <w:r w:rsidRPr="00BD7384">
        <w:rPr>
          <w:b/>
          <w:u w:val="single"/>
        </w:rPr>
        <w:t>предметникам</w:t>
      </w:r>
    </w:p>
    <w:p w:rsidR="00B8287E" w:rsidRPr="00280541" w:rsidRDefault="00B8287E" w:rsidP="00B8287E">
      <w:pPr>
        <w:pStyle w:val="a6"/>
      </w:pPr>
      <w:r w:rsidRPr="00280541">
        <w:t>1. Провести анализ результатов ВПР по каждому обучающемуся, классу, параллели.</w:t>
      </w:r>
    </w:p>
    <w:p w:rsidR="00B8287E" w:rsidRPr="00280541" w:rsidRDefault="00B8287E" w:rsidP="00B8287E">
      <w:pPr>
        <w:pStyle w:val="a6"/>
      </w:pPr>
      <w:r w:rsidRPr="00280541">
        <w:t xml:space="preserve">2. </w:t>
      </w:r>
      <w:proofErr w:type="gramStart"/>
      <w:r w:rsidRPr="00280541">
        <w:t xml:space="preserve">На основе анализа результатов </w:t>
      </w:r>
      <w:r w:rsidRPr="00AF12FE">
        <w:t xml:space="preserve">внешних оценочных процедур </w:t>
      </w:r>
      <w:r w:rsidRPr="00280541">
        <w:t xml:space="preserve">определить обучающихся с рисками учебной </w:t>
      </w:r>
      <w:proofErr w:type="spellStart"/>
      <w:r w:rsidRPr="00280541">
        <w:t>неуспешности</w:t>
      </w:r>
      <w:proofErr w:type="spellEnd"/>
      <w:r w:rsidRPr="00280541">
        <w:t>, выявить их причины (</w:t>
      </w:r>
      <w:r w:rsidRPr="003C220A">
        <w:t xml:space="preserve">недостаточный уровень </w:t>
      </w:r>
      <w:proofErr w:type="spellStart"/>
      <w:r w:rsidRPr="003C220A">
        <w:t>сформированности</w:t>
      </w:r>
      <w:proofErr w:type="spellEnd"/>
      <w:r w:rsidRPr="003C220A">
        <w:t xml:space="preserve"> универсальных учебных действий (</w:t>
      </w:r>
      <w:proofErr w:type="spellStart"/>
      <w:r w:rsidRPr="003C220A">
        <w:t>метапредметных</w:t>
      </w:r>
      <w:proofErr w:type="spellEnd"/>
      <w:r w:rsidRPr="003C220A">
        <w:t xml:space="preserve"> результатов), таких как </w:t>
      </w:r>
      <w:r>
        <w:t xml:space="preserve">читательские навыки, навыки работы с информацией, </w:t>
      </w:r>
      <w:r w:rsidRPr="00280541">
        <w:t>навык</w:t>
      </w:r>
      <w:r>
        <w:t>и</w:t>
      </w:r>
      <w:r w:rsidRPr="00280541">
        <w:t xml:space="preserve"> самоорганизации, самоконтроля;</w:t>
      </w:r>
      <w:r>
        <w:t xml:space="preserve"> и/или низкий уровень достижения предметных результатов:</w:t>
      </w:r>
      <w:r w:rsidRPr="00280541">
        <w:t xml:space="preserve"> неосво</w:t>
      </w:r>
      <w:r>
        <w:t>енные системообразующие понятия,</w:t>
      </w:r>
      <w:r w:rsidRPr="00280541">
        <w:t xml:space="preserve"> </w:t>
      </w:r>
      <w:r>
        <w:t>низкий уровень развития</w:t>
      </w:r>
      <w:r w:rsidRPr="00280541">
        <w:t xml:space="preserve"> предметны</w:t>
      </w:r>
      <w:r>
        <w:t>х</w:t>
      </w:r>
      <w:r w:rsidRPr="00280541">
        <w:t xml:space="preserve"> умени</w:t>
      </w:r>
      <w:r>
        <w:t>й</w:t>
      </w:r>
      <w:r w:rsidRPr="00280541">
        <w:t>, навык</w:t>
      </w:r>
      <w:r>
        <w:t>ов</w:t>
      </w:r>
      <w:r w:rsidRPr="00280541">
        <w:t xml:space="preserve"> и способ</w:t>
      </w:r>
      <w:r>
        <w:t>ов</w:t>
      </w:r>
      <w:r w:rsidRPr="00280541">
        <w:t xml:space="preserve"> деятельности</w:t>
      </w:r>
      <w:r w:rsidRPr="00C27446">
        <w:t xml:space="preserve"> </w:t>
      </w:r>
      <w:r w:rsidRPr="00280541">
        <w:t>и пр</w:t>
      </w:r>
      <w:r>
        <w:t>.</w:t>
      </w:r>
      <w:r w:rsidRPr="00280541">
        <w:t>).</w:t>
      </w:r>
      <w:proofErr w:type="gramEnd"/>
      <w:r>
        <w:t xml:space="preserve"> В зависимости от </w:t>
      </w:r>
      <w:r>
        <w:lastRenderedPageBreak/>
        <w:t>совокупности рисков, выстроить</w:t>
      </w:r>
      <w:r w:rsidRPr="00AF12FE">
        <w:t xml:space="preserve"> индивидуальную траекторию обучения для каждого обучающегося</w:t>
      </w:r>
      <w:r>
        <w:t>.</w:t>
      </w:r>
    </w:p>
    <w:p w:rsidR="00B8287E" w:rsidRPr="00280541" w:rsidRDefault="00B8287E" w:rsidP="00B8287E">
      <w:pPr>
        <w:pStyle w:val="a6"/>
      </w:pPr>
      <w:r w:rsidRPr="00280541">
        <w:t xml:space="preserve">3. Оказать адресную помощь </w:t>
      </w:r>
      <w:proofErr w:type="gramStart"/>
      <w:r w:rsidRPr="00280541">
        <w:t>обучающимся</w:t>
      </w:r>
      <w:proofErr w:type="gramEnd"/>
      <w:r w:rsidRPr="00280541">
        <w:t xml:space="preserve"> в </w:t>
      </w:r>
      <w:r>
        <w:t>достижении более высокого уровня предметных результатов</w:t>
      </w:r>
      <w:r w:rsidRPr="00280541">
        <w:t xml:space="preserve">. Для достижения положительной динамики организовать сопутствующее повторение западающих тем, ввести в план урока использование заданий для формирования устойчивых базовых знаний по предмету и пр. </w:t>
      </w:r>
    </w:p>
    <w:p w:rsidR="00B8287E" w:rsidRDefault="00B8287E" w:rsidP="00B8287E">
      <w:pPr>
        <w:pStyle w:val="a6"/>
      </w:pPr>
      <w:r w:rsidRPr="00280541">
        <w:t>4. Продолжить работу по повышению качества образования, в том числе, через внедрение форм и методов, обеспечивающих</w:t>
      </w:r>
      <w:r>
        <w:t xml:space="preserve"> достижение высокого уровня </w:t>
      </w:r>
      <w:proofErr w:type="spellStart"/>
      <w:r>
        <w:t>метапредметных</w:t>
      </w:r>
      <w:proofErr w:type="spellEnd"/>
      <w:r>
        <w:t xml:space="preserve"> результатов:</w:t>
      </w:r>
      <w:r w:rsidRPr="00280541">
        <w:t xml:space="preserve"> развитие универсальных учебных действий, учебной самостоятельности, повышение учебной мотивации </w:t>
      </w:r>
      <w:proofErr w:type="gramStart"/>
      <w:r w:rsidRPr="00280541">
        <w:t>у</w:t>
      </w:r>
      <w:proofErr w:type="gramEnd"/>
      <w:r w:rsidRPr="00280541">
        <w:t xml:space="preserve"> обучающихся.</w:t>
      </w:r>
    </w:p>
    <w:p w:rsidR="00B8287E" w:rsidRPr="00280541" w:rsidRDefault="00B8287E" w:rsidP="00B8287E">
      <w:pPr>
        <w:pStyle w:val="a6"/>
      </w:pPr>
      <w:r>
        <w:t xml:space="preserve">5. </w:t>
      </w:r>
      <w:r w:rsidRPr="00280541">
        <w:t>На основе результатов ВПР провести анализ учебных программ, программ внеурочной деятельности, используемых УМК, внести необходимые изменения с целью обеспечения качественной подготовки обучающихся.</w:t>
      </w:r>
    </w:p>
    <w:p w:rsidR="00B8287E" w:rsidRPr="00280541" w:rsidRDefault="00B8287E" w:rsidP="00B8287E">
      <w:pPr>
        <w:pStyle w:val="a6"/>
      </w:pPr>
      <w:r>
        <w:t>6</w:t>
      </w:r>
      <w:r w:rsidRPr="00280541">
        <w:t xml:space="preserve">. Проводить планомерную работу с </w:t>
      </w:r>
      <w:proofErr w:type="gramStart"/>
      <w:r w:rsidRPr="00280541">
        <w:t>талантливыми</w:t>
      </w:r>
      <w:proofErr w:type="gramEnd"/>
      <w:r w:rsidRPr="00280541">
        <w:t xml:space="preserve"> и одаренными обучающимися </w:t>
      </w:r>
      <w:r>
        <w:t>—</w:t>
      </w:r>
      <w:r w:rsidRPr="00280541">
        <w:t xml:space="preserve"> выполнение заданий повышенной трудности, требующие логического обоснования, рассуждения, доказательства.</w:t>
      </w:r>
    </w:p>
    <w:p w:rsidR="00B8287E" w:rsidRPr="00280541" w:rsidRDefault="00B8287E" w:rsidP="00B8287E">
      <w:pPr>
        <w:pStyle w:val="a6"/>
      </w:pPr>
      <w:r>
        <w:t>7</w:t>
      </w:r>
      <w:r w:rsidRPr="00280541">
        <w:t xml:space="preserve">. Усилить работу по формированию функциональной грамотности обучающихся </w:t>
      </w:r>
      <w:r>
        <w:t>—</w:t>
      </w:r>
      <w:r w:rsidRPr="00280541">
        <w:t xml:space="preserve"> акцент на практическую применимость получаемых знаний, формируемых умений (в жизни, при изучении других предметов).</w:t>
      </w:r>
    </w:p>
    <w:p w:rsidR="00B8287E" w:rsidRPr="00280541" w:rsidRDefault="00B8287E" w:rsidP="00B8287E">
      <w:pPr>
        <w:pStyle w:val="a6"/>
      </w:pPr>
      <w:r>
        <w:t>8</w:t>
      </w:r>
      <w:r w:rsidRPr="00280541">
        <w:t>. Осуществлять оценочную деятельность в соответствии с едиными подходами ФГОС</w:t>
      </w:r>
      <w:r>
        <w:t xml:space="preserve">, объективно оценивать устные ответы и письменные работы </w:t>
      </w:r>
      <w:proofErr w:type="gramStart"/>
      <w:r>
        <w:t>обучающихся</w:t>
      </w:r>
      <w:proofErr w:type="gramEnd"/>
      <w:r>
        <w:t xml:space="preserve"> в строгом соответствии с критериями оценивания</w:t>
      </w:r>
      <w:r w:rsidRPr="00280541">
        <w:t xml:space="preserve">. </w:t>
      </w:r>
    </w:p>
    <w:p w:rsidR="00B8287E" w:rsidRDefault="00B8287E" w:rsidP="00B8287E">
      <w:pPr>
        <w:pStyle w:val="a6"/>
      </w:pPr>
      <w:r>
        <w:t xml:space="preserve">9. Проводить работу по формированию организационных умений учащихся: учить </w:t>
      </w:r>
      <w:proofErr w:type="gramStart"/>
      <w:r>
        <w:t>правильно</w:t>
      </w:r>
      <w:proofErr w:type="gramEnd"/>
      <w:r>
        <w:t xml:space="preserve"> читать формулировку задания, выделяя ключевые слова, осознавая рамки поставленного вопроса; внимательно читать инструкции по выполнению тестов разного типа; распределять время в ходе выполнения проверочных, контрольных работ.</w:t>
      </w:r>
    </w:p>
    <w:p w:rsidR="00B8287E" w:rsidRPr="006C7A5B" w:rsidRDefault="00B8287E" w:rsidP="00B8287E">
      <w:pPr>
        <w:pStyle w:val="a6"/>
      </w:pPr>
    </w:p>
    <w:p w:rsidR="00A92F95" w:rsidRDefault="00A92F95"/>
    <w:sectPr w:rsidR="00A9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A40B7"/>
    <w:multiLevelType w:val="hybridMultilevel"/>
    <w:tmpl w:val="0D0CE92A"/>
    <w:lvl w:ilvl="0" w:tplc="B3E4A9A0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B4"/>
    <w:rsid w:val="00445EEB"/>
    <w:rsid w:val="00485787"/>
    <w:rsid w:val="005372B4"/>
    <w:rsid w:val="009E4E9F"/>
    <w:rsid w:val="00A92F95"/>
    <w:rsid w:val="00B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2B4"/>
  </w:style>
  <w:style w:type="paragraph" w:styleId="2">
    <w:name w:val="heading 2"/>
    <w:basedOn w:val="a0"/>
    <w:next w:val="a0"/>
    <w:link w:val="20"/>
    <w:uiPriority w:val="9"/>
    <w:unhideWhenUsed/>
    <w:qFormat/>
    <w:rsid w:val="00445EEB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5372B4"/>
    <w:pPr>
      <w:ind w:left="720"/>
      <w:contextualSpacing/>
    </w:pPr>
  </w:style>
  <w:style w:type="paragraph" w:customStyle="1" w:styleId="a6">
    <w:name w:val="Стиль_основного абзаци"/>
    <w:basedOn w:val="a0"/>
    <w:link w:val="a7"/>
    <w:qFormat/>
    <w:rsid w:val="005372B4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5372B4"/>
  </w:style>
  <w:style w:type="paragraph" w:customStyle="1" w:styleId="a">
    <w:name w:val="Стиль_список_черта"/>
    <w:basedOn w:val="a4"/>
    <w:link w:val="a8"/>
    <w:qFormat/>
    <w:rsid w:val="005372B4"/>
    <w:pPr>
      <w:numPr>
        <w:numId w:val="1"/>
      </w:numPr>
      <w:autoSpaceDE w:val="0"/>
      <w:autoSpaceDN w:val="0"/>
      <w:adjustRightInd w:val="0"/>
      <w:spacing w:before="120" w:after="0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Стиль_основного абзаци Знак"/>
    <w:basedOn w:val="a1"/>
    <w:link w:val="a6"/>
    <w:rsid w:val="00537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тиль_список_черта Знак"/>
    <w:basedOn w:val="a5"/>
    <w:link w:val="a"/>
    <w:rsid w:val="005372B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45EEB"/>
    <w:rPr>
      <w:rFonts w:ascii="Calibri Light" w:eastAsia="SimSun" w:hAnsi="Calibri Light" w:cs="Times New Roman"/>
      <w:color w:val="2E74B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72B4"/>
  </w:style>
  <w:style w:type="paragraph" w:styleId="2">
    <w:name w:val="heading 2"/>
    <w:basedOn w:val="a0"/>
    <w:next w:val="a0"/>
    <w:link w:val="20"/>
    <w:uiPriority w:val="9"/>
    <w:unhideWhenUsed/>
    <w:qFormat/>
    <w:rsid w:val="00445EEB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5372B4"/>
    <w:pPr>
      <w:ind w:left="720"/>
      <w:contextualSpacing/>
    </w:pPr>
  </w:style>
  <w:style w:type="paragraph" w:customStyle="1" w:styleId="a6">
    <w:name w:val="Стиль_основного абзаци"/>
    <w:basedOn w:val="a0"/>
    <w:link w:val="a7"/>
    <w:qFormat/>
    <w:rsid w:val="005372B4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rsid w:val="005372B4"/>
  </w:style>
  <w:style w:type="paragraph" w:customStyle="1" w:styleId="a">
    <w:name w:val="Стиль_список_черта"/>
    <w:basedOn w:val="a4"/>
    <w:link w:val="a8"/>
    <w:qFormat/>
    <w:rsid w:val="005372B4"/>
    <w:pPr>
      <w:numPr>
        <w:numId w:val="1"/>
      </w:numPr>
      <w:autoSpaceDE w:val="0"/>
      <w:autoSpaceDN w:val="0"/>
      <w:adjustRightInd w:val="0"/>
      <w:spacing w:before="120" w:after="0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Стиль_основного абзаци Знак"/>
    <w:basedOn w:val="a1"/>
    <w:link w:val="a6"/>
    <w:rsid w:val="00537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тиль_список_черта Знак"/>
    <w:basedOn w:val="a5"/>
    <w:link w:val="a"/>
    <w:rsid w:val="005372B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45EEB"/>
    <w:rPr>
      <w:rFonts w:ascii="Calibri Light" w:eastAsia="SimSun" w:hAnsi="Calibri Light" w:cs="Times New Roman"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2023-09-25T14:59:00Z</cp:lastPrinted>
  <dcterms:created xsi:type="dcterms:W3CDTF">2023-09-25T14:57:00Z</dcterms:created>
  <dcterms:modified xsi:type="dcterms:W3CDTF">2023-09-26T05:01:00Z</dcterms:modified>
</cp:coreProperties>
</file>