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8C" w:rsidRDefault="008F0E8C" w:rsidP="008F0E8C">
      <w:pPr>
        <w:spacing w:after="0" w:line="240" w:lineRule="auto"/>
        <w:ind w:left="0" w:right="0" w:firstLine="0"/>
        <w:jc w:val="center"/>
      </w:pPr>
      <w:r>
        <w:rPr>
          <w:b/>
          <w:sz w:val="27"/>
        </w:rPr>
        <w:t xml:space="preserve">На «Уроке цифры» </w:t>
      </w:r>
      <w:proofErr w:type="spellStart"/>
      <w:r>
        <w:rPr>
          <w:b/>
          <w:sz w:val="27"/>
        </w:rPr>
        <w:t>Росатом</w:t>
      </w:r>
      <w:proofErr w:type="spellEnd"/>
      <w:r>
        <w:rPr>
          <w:b/>
          <w:sz w:val="27"/>
        </w:rPr>
        <w:t xml:space="preserve"> познакомит школьников с квантовым компьютером</w:t>
      </w:r>
    </w:p>
    <w:p w:rsidR="008F0E8C" w:rsidRDefault="008F0E8C" w:rsidP="008F0E8C">
      <w:pPr>
        <w:spacing w:after="11"/>
      </w:pPr>
      <w:r>
        <w:rPr>
          <w:b/>
          <w:sz w:val="27"/>
        </w:rPr>
        <w:t xml:space="preserve">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С 10 марта по 10 апреля </w:t>
      </w:r>
      <w:proofErr w:type="spellStart"/>
      <w:r>
        <w:rPr>
          <w:sz w:val="27"/>
        </w:rPr>
        <w:t>Госкорпорация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 примет участие во всероссийском образовательном проекте «Урок цифры» и проведет для школьников и учителей обучающее занятие по теме «Квантовый мир: как устроен квантовый компьютер». 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Новый урок подготовлен в рамках реализации национальной программы «Цифровая экономика Российской Федерации», а также дорожной карты по квантовым вычислениям при поддержке Российского квантового центра, Национальной квантовой лаборатории и Газпромбанка. В его основе – познавательный материал, посвященный квантовому компьютеру: особенностям, отличиям от привычных ПК, функционалу и изменениям, которые произойдут в мире с его появлением. Организаторы мероприятия – АНО «Цифровая экономика», </w:t>
      </w:r>
      <w:proofErr w:type="spellStart"/>
      <w:r>
        <w:rPr>
          <w:sz w:val="27"/>
        </w:rPr>
        <w:t>Минцифры</w:t>
      </w:r>
      <w:proofErr w:type="spellEnd"/>
      <w:r>
        <w:rPr>
          <w:sz w:val="27"/>
        </w:rPr>
        <w:t xml:space="preserve"> России, </w:t>
      </w:r>
      <w:proofErr w:type="spellStart"/>
      <w:r>
        <w:rPr>
          <w:sz w:val="27"/>
        </w:rPr>
        <w:t>Минпросвещения</w:t>
      </w:r>
      <w:proofErr w:type="spellEnd"/>
      <w:r>
        <w:rPr>
          <w:sz w:val="27"/>
        </w:rPr>
        <w:t xml:space="preserve"> России, а также высокотехнологичные компании-лидеры цифровой трансформации.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«Урок цифры» будет состоять из теоретической части и блока с упражнениями (игрового тренажера). Десятиминутный фильм о принципах квантовой физики, устройстве нашего мира и практическом применении квантового компьютера поможет школьникам лучше понять растущий интерес к новому типу вычислительных устройств. В то же время игровые задания по обучению алгоритма и квантовому программированию позволят популяризировать науку среди учащихся 17 и 8-11 классов. Приступить к уроку можно на сайте в любое время. 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«Формирование кадрового резерва для квантовой индустрии – одна из ключевых задач, над которой мы работаем. Важно, чтобы школьники уже с начальных классов понимали, как в действительности устроен мир, и что квантовые эффекты – не что-то чужеродное. Чем раньше ребята научатся жить с этим осознанием, тем быстрее у них появятся идеи, как их правильно использовать. 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 с нуля создает новую отрасль, поэтому участие в таких образовательных проектах, как «Урок цифры» – значимая часть стратегии по поиску талантливых детей и популяризации науки», </w:t>
      </w:r>
      <w:r>
        <w:rPr>
          <w:i/>
          <w:sz w:val="27"/>
        </w:rPr>
        <w:t xml:space="preserve">– </w:t>
      </w:r>
      <w:r>
        <w:rPr>
          <w:b/>
          <w:i/>
          <w:sz w:val="27"/>
        </w:rPr>
        <w:t xml:space="preserve">отметил Руслан Юнусов, руководитель проектного офиса по квантовым технологиям </w:t>
      </w:r>
      <w:proofErr w:type="spellStart"/>
      <w:r>
        <w:rPr>
          <w:b/>
          <w:i/>
          <w:sz w:val="27"/>
        </w:rPr>
        <w:t>Госкорпорации</w:t>
      </w:r>
      <w:proofErr w:type="spellEnd"/>
      <w:r>
        <w:rPr>
          <w:b/>
          <w:i/>
          <w:sz w:val="27"/>
        </w:rPr>
        <w:t xml:space="preserve"> «</w:t>
      </w:r>
      <w:proofErr w:type="spellStart"/>
      <w:r>
        <w:rPr>
          <w:b/>
          <w:i/>
          <w:sz w:val="27"/>
        </w:rPr>
        <w:t>Росатом</w:t>
      </w:r>
      <w:proofErr w:type="spellEnd"/>
      <w:r>
        <w:rPr>
          <w:b/>
          <w:i/>
          <w:sz w:val="27"/>
        </w:rPr>
        <w:t>»</w:t>
      </w:r>
      <w:r>
        <w:rPr>
          <w:i/>
          <w:sz w:val="27"/>
        </w:rPr>
        <w:t>.</w:t>
      </w:r>
      <w:r>
        <w:rPr>
          <w:sz w:val="27"/>
        </w:rPr>
        <w:t xml:space="preserve">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«Благодаря новому партнеру «Урок цифры», </w:t>
      </w:r>
      <w:proofErr w:type="spellStart"/>
      <w:r>
        <w:rPr>
          <w:sz w:val="27"/>
        </w:rPr>
        <w:t>госкорпорации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», у нас появилась возможность расширить тематику проекта, обогатив ее такой интересной и актуальной темой. Квантовые компьютеры обещают прорыв не только в информационных технологиях, но и в целом ряде смежных областей – физике, химии, биологии, медицине, транспорте и др. Работу с ними уже ведут мировые гиганты отрасли. И чтобы завтра российские компании могли соответствовать высокому уровню требований отрасли, важно, чтобы сегодня мы смогли заинтересовать и увлечь будущих разработчиков”, </w:t>
      </w:r>
      <w:r>
        <w:rPr>
          <w:i/>
          <w:sz w:val="27"/>
        </w:rPr>
        <w:t>–</w:t>
      </w:r>
      <w:r>
        <w:rPr>
          <w:b/>
          <w:i/>
          <w:sz w:val="27"/>
        </w:rPr>
        <w:t xml:space="preserve"> комментирует заместитель директора АНО «Цифровая экономика» по направлению «Кадры для цифровой экономики» Юлия </w:t>
      </w:r>
      <w:bookmarkStart w:id="0" w:name="_GoBack"/>
      <w:bookmarkEnd w:id="0"/>
      <w:proofErr w:type="spellStart"/>
      <w:r>
        <w:rPr>
          <w:b/>
          <w:i/>
          <w:sz w:val="27"/>
        </w:rPr>
        <w:t>Горячкина</w:t>
      </w:r>
      <w:proofErr w:type="spellEnd"/>
      <w:r>
        <w:rPr>
          <w:b/>
          <w:sz w:val="27"/>
        </w:rPr>
        <w:t xml:space="preserve"> </w:t>
      </w:r>
    </w:p>
    <w:p w:rsidR="008F0E8C" w:rsidRDefault="008F0E8C" w:rsidP="008F0E8C">
      <w:pPr>
        <w:spacing w:after="16"/>
        <w:ind w:left="708"/>
      </w:pPr>
      <w:r>
        <w:lastRenderedPageBreak/>
        <w:t xml:space="preserve"> </w:t>
      </w:r>
    </w:p>
    <w:p w:rsidR="008F0E8C" w:rsidRDefault="008F0E8C" w:rsidP="008F0E8C">
      <w:pPr>
        <w:spacing w:after="7" w:line="265" w:lineRule="auto"/>
        <w:ind w:left="701" w:right="836" w:hanging="8"/>
      </w:pPr>
      <w:r>
        <w:rPr>
          <w:b/>
          <w:sz w:val="27"/>
        </w:rPr>
        <w:t xml:space="preserve">Справка:  </w:t>
      </w:r>
    </w:p>
    <w:p w:rsidR="008F0E8C" w:rsidRDefault="008F0E8C" w:rsidP="008F0E8C">
      <w:pPr>
        <w:spacing w:after="16"/>
        <w:ind w:left="708"/>
      </w:pPr>
      <w:r>
        <w:rPr>
          <w:sz w:val="27"/>
        </w:rPr>
        <w:t xml:space="preserve">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«Урок цифры» </w:t>
      </w:r>
      <w:r>
        <w:rPr>
          <w:i/>
          <w:sz w:val="27"/>
        </w:rPr>
        <w:t>–</w:t>
      </w:r>
      <w:r>
        <w:rPr>
          <w:sz w:val="27"/>
        </w:rPr>
        <w:t xml:space="preserve">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рамках федерального проекта «Кадры для цифровой экономики».  </w:t>
      </w:r>
    </w:p>
    <w:p w:rsidR="008F0E8C" w:rsidRDefault="008F0E8C" w:rsidP="008F0E8C">
      <w:pPr>
        <w:ind w:left="708" w:right="-10"/>
      </w:pPr>
      <w:r>
        <w:rPr>
          <w:sz w:val="27"/>
        </w:rPr>
        <w:t xml:space="preserve">Партнерами «Урока цифры» в 2021/22 учебном году выступают «Лаборатория </w:t>
      </w:r>
    </w:p>
    <w:p w:rsidR="008F0E8C" w:rsidRDefault="008F0E8C" w:rsidP="008F0E8C">
      <w:pPr>
        <w:ind w:left="-15" w:right="-10"/>
      </w:pPr>
      <w:r>
        <w:rPr>
          <w:sz w:val="27"/>
        </w:rPr>
        <w:t xml:space="preserve">Касперского», благотворительный фонд Сбербанка «Вклад в будущее», компании Яндекс, «1С», VK, </w:t>
      </w:r>
      <w:proofErr w:type="spellStart"/>
      <w:r>
        <w:rPr>
          <w:sz w:val="27"/>
        </w:rPr>
        <w:t>Госкорпорация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». Технологические партнеры </w:t>
      </w:r>
      <w:r>
        <w:rPr>
          <w:i/>
          <w:sz w:val="27"/>
        </w:rPr>
        <w:t>–</w:t>
      </w:r>
      <w:r>
        <w:rPr>
          <w:sz w:val="27"/>
        </w:rPr>
        <w:t xml:space="preserve"> международная школа программирования «</w:t>
      </w:r>
      <w:proofErr w:type="spellStart"/>
      <w:r>
        <w:rPr>
          <w:sz w:val="27"/>
        </w:rPr>
        <w:t>Алгоритмика</w:t>
      </w:r>
      <w:proofErr w:type="spellEnd"/>
      <w:r>
        <w:rPr>
          <w:sz w:val="27"/>
        </w:rPr>
        <w:t xml:space="preserve">».  </w:t>
      </w:r>
    </w:p>
    <w:p w:rsidR="008F0E8C" w:rsidRDefault="008F0E8C" w:rsidP="008F0E8C">
      <w:pPr>
        <w:ind w:left="-15" w:right="-10" w:firstLine="698"/>
      </w:pPr>
      <w:r>
        <w:rPr>
          <w:sz w:val="27"/>
        </w:rPr>
        <w:t xml:space="preserve">В прошлом учебном году «Урок цифры» охватил больше половины российских школьников. За 3,5 года дети, родители и учителя обратились к урокам, доступным на сайте проекта, более 48 </w:t>
      </w:r>
      <w:proofErr w:type="gramStart"/>
      <w:r>
        <w:rPr>
          <w:sz w:val="27"/>
        </w:rPr>
        <w:t>млн</w:t>
      </w:r>
      <w:proofErr w:type="gramEnd"/>
      <w:r>
        <w:rPr>
          <w:sz w:val="27"/>
        </w:rPr>
        <w:t xml:space="preserve"> раз. Проект охватил все 85 регионов России, а в 2019/2020 учебном году расширил свою географию </w:t>
      </w:r>
      <w:r>
        <w:rPr>
          <w:i/>
          <w:sz w:val="27"/>
        </w:rPr>
        <w:t>–</w:t>
      </w:r>
      <w:r>
        <w:rPr>
          <w:sz w:val="27"/>
        </w:rPr>
        <w:t xml:space="preserve"> при поддержке </w:t>
      </w:r>
      <w:proofErr w:type="spellStart"/>
      <w:r>
        <w:rPr>
          <w:sz w:val="27"/>
        </w:rPr>
        <w:t>Россотрудничества</w:t>
      </w:r>
      <w:proofErr w:type="spellEnd"/>
      <w:r>
        <w:rPr>
          <w:sz w:val="27"/>
        </w:rPr>
        <w:t xml:space="preserve"> учащиеся русскоязычных школ из 100+ стран прошли тренажеры от ведущих российских компаний цифровой экономики. </w:t>
      </w:r>
    </w:p>
    <w:p w:rsidR="008F0E8C" w:rsidRDefault="008F0E8C" w:rsidP="008F0E8C">
      <w:pPr>
        <w:spacing w:after="20"/>
        <w:ind w:left="708"/>
      </w:pPr>
      <w:r>
        <w:rPr>
          <w:sz w:val="27"/>
        </w:rPr>
        <w:t xml:space="preserve"> </w:t>
      </w:r>
    </w:p>
    <w:p w:rsidR="008F0E8C" w:rsidRDefault="008F0E8C" w:rsidP="008F0E8C">
      <w:pPr>
        <w:ind w:left="-15" w:right="-10" w:firstLine="698"/>
      </w:pPr>
      <w:proofErr w:type="spellStart"/>
      <w:r>
        <w:rPr>
          <w:b/>
          <w:sz w:val="27"/>
        </w:rPr>
        <w:t>Госкорпорация</w:t>
      </w:r>
      <w:proofErr w:type="spellEnd"/>
      <w:r>
        <w:rPr>
          <w:b/>
          <w:sz w:val="27"/>
        </w:rPr>
        <w:t xml:space="preserve"> «</w:t>
      </w:r>
      <w:proofErr w:type="spellStart"/>
      <w:r>
        <w:rPr>
          <w:b/>
          <w:sz w:val="27"/>
        </w:rPr>
        <w:t>Росатом</w:t>
      </w:r>
      <w:proofErr w:type="spellEnd"/>
      <w:r>
        <w:rPr>
          <w:b/>
          <w:sz w:val="27"/>
        </w:rPr>
        <w:t>»</w:t>
      </w:r>
      <w:r>
        <w:rPr>
          <w:sz w:val="27"/>
        </w:rPr>
        <w:t xml:space="preserve"> </w:t>
      </w:r>
      <w:r>
        <w:rPr>
          <w:i/>
          <w:sz w:val="27"/>
        </w:rPr>
        <w:t>–</w:t>
      </w:r>
      <w:r>
        <w:rPr>
          <w:sz w:val="27"/>
        </w:rPr>
        <w:t xml:space="preserve"> глобальный технологический многопрофильный холдинг, объединяющий активы в энергетике, машиностроении, строительстве. Включает в себя более 300 предприятий и организаций, в которых работает 275 тыс. чел. С 2018 г. реализует единую цифровую стратегию (ЕЦС), предполагающую многоплановую работу по ряду направлений. В направлении «Участие в </w:t>
      </w:r>
      <w:proofErr w:type="spellStart"/>
      <w:r>
        <w:rPr>
          <w:sz w:val="27"/>
        </w:rPr>
        <w:t>цифровизации</w:t>
      </w:r>
      <w:proofErr w:type="spellEnd"/>
      <w:r>
        <w:rPr>
          <w:sz w:val="27"/>
        </w:rPr>
        <w:t xml:space="preserve"> России» является центром компетенций федерального проекта </w:t>
      </w:r>
    </w:p>
    <w:p w:rsidR="008F0E8C" w:rsidRDefault="008F0E8C" w:rsidP="008F0E8C">
      <w:pPr>
        <w:ind w:left="-15" w:right="-10"/>
      </w:pPr>
      <w:r>
        <w:rPr>
          <w:sz w:val="27"/>
        </w:rPr>
        <w:t xml:space="preserve">«Цифровые технологии» </w:t>
      </w:r>
      <w:proofErr w:type="spellStart"/>
      <w:r>
        <w:rPr>
          <w:sz w:val="27"/>
        </w:rPr>
        <w:t>нацпрограммы</w:t>
      </w:r>
      <w:proofErr w:type="spellEnd"/>
      <w:r>
        <w:rPr>
          <w:sz w:val="27"/>
        </w:rPr>
        <w:t xml:space="preserve"> «Цифровая экономика Российской Федерации»; ответственным за создание в России к 2024 г. квантового компьютера; совместно с </w:t>
      </w:r>
      <w:proofErr w:type="spellStart"/>
      <w:r>
        <w:rPr>
          <w:sz w:val="27"/>
        </w:rPr>
        <w:t>Госкорпорацией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Ростех</w:t>
      </w:r>
      <w:proofErr w:type="spellEnd"/>
      <w:r>
        <w:rPr>
          <w:sz w:val="27"/>
        </w:rPr>
        <w:t xml:space="preserve">» выступает соисполнителем дорожной карты по развитию высокотехнологичной области «Новые производственные технологии». В направлении «Цифровые продукты» разрабатывает и выводит на рынок цифровые продукты для промышленных предприятий: 15 цифровых продуктов выпущено на рынок в 2018-2021 гг.; 6 запланированы к выводу на рынок в 2022 г. В направлении «Внутренняя </w:t>
      </w:r>
      <w:proofErr w:type="spellStart"/>
      <w:r>
        <w:rPr>
          <w:sz w:val="27"/>
        </w:rPr>
        <w:t>цифровизация</w:t>
      </w:r>
      <w:proofErr w:type="spellEnd"/>
      <w:r>
        <w:rPr>
          <w:sz w:val="27"/>
        </w:rPr>
        <w:t xml:space="preserve">» обеспечивает </w:t>
      </w:r>
      <w:proofErr w:type="spellStart"/>
      <w:r>
        <w:rPr>
          <w:sz w:val="27"/>
        </w:rPr>
        <w:t>цифровизацию</w:t>
      </w:r>
      <w:proofErr w:type="spellEnd"/>
      <w:r>
        <w:rPr>
          <w:sz w:val="27"/>
        </w:rPr>
        <w:t xml:space="preserve"> процессов сооружения АЭС, цифровое </w:t>
      </w:r>
      <w:proofErr w:type="spellStart"/>
      <w:r>
        <w:rPr>
          <w:sz w:val="27"/>
        </w:rPr>
        <w:t>импортозамещение</w:t>
      </w:r>
      <w:proofErr w:type="spellEnd"/>
      <w:r>
        <w:rPr>
          <w:sz w:val="27"/>
        </w:rPr>
        <w:t xml:space="preserve"> и создание Единой цифровой платформы атомной отрасли. Также в рамках ЕЦС 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sz w:val="27"/>
        </w:rPr>
        <w:t>нейротехнологии</w:t>
      </w:r>
      <w:proofErr w:type="spellEnd"/>
      <w:r>
        <w:rPr>
          <w:sz w:val="27"/>
        </w:rPr>
        <w:t xml:space="preserve"> и искусственный интеллект, технологии беспроводной связи, робототехника и </w:t>
      </w:r>
      <w:proofErr w:type="spellStart"/>
      <w:r>
        <w:rPr>
          <w:sz w:val="27"/>
        </w:rPr>
        <w:t>сенсорика</w:t>
      </w:r>
      <w:proofErr w:type="spellEnd"/>
      <w:r>
        <w:rPr>
          <w:sz w:val="27"/>
        </w:rPr>
        <w:t xml:space="preserve"> и др. </w:t>
      </w:r>
    </w:p>
    <w:p w:rsidR="00582789" w:rsidRDefault="00582789"/>
    <w:sectPr w:rsidR="00582789" w:rsidSect="008F0E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8C"/>
    <w:rsid w:val="00582789"/>
    <w:rsid w:val="008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8C"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8C"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2022-03-02T08:44:00Z</dcterms:created>
  <dcterms:modified xsi:type="dcterms:W3CDTF">2022-03-02T08:45:00Z</dcterms:modified>
</cp:coreProperties>
</file>